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023" w:rsidRPr="008E21AE" w:rsidRDefault="00B82023" w:rsidP="00B82023">
      <w:pPr>
        <w:jc w:val="center"/>
        <w:rPr>
          <w:rFonts w:ascii="Poppins" w:hAnsi="Poppins" w:cs="Poppins"/>
          <w:b/>
          <w:sz w:val="28"/>
        </w:rPr>
      </w:pPr>
      <w:r w:rsidRPr="008E21AE">
        <w:rPr>
          <w:rFonts w:ascii="Poppins" w:hAnsi="Poppins" w:cs="Poppins"/>
        </w:rPr>
        <w:t>Etablissement public à caractère scientifique, culturel et professionnel</w:t>
      </w:r>
    </w:p>
    <w:p w:rsidR="005661C7" w:rsidRPr="008E21AE" w:rsidRDefault="00F4673F" w:rsidP="00C33009">
      <w:pPr>
        <w:jc w:val="center"/>
        <w:rPr>
          <w:rFonts w:ascii="Poppins" w:hAnsi="Poppins" w:cs="Poppins"/>
          <w:b/>
        </w:rPr>
      </w:pPr>
      <w:r w:rsidRPr="008E21AE">
        <w:rPr>
          <w:rFonts w:ascii="Poppins" w:hAnsi="Poppins" w:cs="Poppins"/>
        </w:rPr>
        <w:t xml:space="preserve">Marché public de </w:t>
      </w:r>
      <w:r w:rsidR="00F94370">
        <w:rPr>
          <w:rFonts w:ascii="Poppins" w:hAnsi="Poppins" w:cs="Poppins"/>
        </w:rPr>
        <w:t>services</w:t>
      </w:r>
    </w:p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33009" w:rsidRPr="004A1533" w:rsidTr="00D9408E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6600"/>
            </w:tcBorders>
            <w:shd w:val="clear" w:color="auto" w:fill="FFFFFF"/>
          </w:tcPr>
          <w:p w:rsidR="00C33009" w:rsidRPr="004A1533" w:rsidRDefault="00C33009" w:rsidP="00D94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Poppins" w:hAnsi="Poppins" w:cs="Poppins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FF6600"/>
              <w:bottom w:val="nil"/>
              <w:right w:val="nil"/>
            </w:tcBorders>
            <w:shd w:val="clear" w:color="auto" w:fill="FFFFFF"/>
          </w:tcPr>
          <w:p w:rsidR="00C33009" w:rsidRPr="004A1533" w:rsidRDefault="00C33009" w:rsidP="00D94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Poppins" w:hAnsi="Poppins" w:cs="Poppins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33009" w:rsidRPr="004A1533" w:rsidRDefault="00156FF0" w:rsidP="00D940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Poppins" w:hAnsi="Poppins" w:cs="Poppins"/>
                <w:sz w:val="24"/>
                <w:szCs w:val="24"/>
              </w:rPr>
            </w:pPr>
            <w:r w:rsidRPr="00CF0996">
              <w:rPr>
                <w:rFonts w:ascii="Poppins" w:hAnsi="Poppins" w:cs="Poppins"/>
                <w:b/>
                <w:sz w:val="48"/>
                <w:szCs w:val="44"/>
              </w:rPr>
              <w:t>Mission de relevé de bâtiments et élaboration d’une maquette numérique – IUT de Montreuil</w:t>
            </w:r>
            <w:r w:rsidRPr="004A1533">
              <w:rPr>
                <w:rFonts w:ascii="Poppins" w:hAnsi="Poppins" w:cs="Poppins"/>
                <w:sz w:val="24"/>
                <w:szCs w:val="24"/>
              </w:rPr>
              <w:t xml:space="preserve"> </w:t>
            </w:r>
          </w:p>
        </w:tc>
      </w:tr>
    </w:tbl>
    <w:p w:rsidR="005661C7" w:rsidRPr="008E21AE" w:rsidRDefault="005661C7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5661C7" w:rsidRPr="008E21AE" w:rsidRDefault="005661C7" w:rsidP="00C33009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Poppins" w:hAnsi="Poppins" w:cs="Poppins"/>
          <w:color w:val="000000"/>
          <w:sz w:val="20"/>
          <w:szCs w:val="20"/>
        </w:rPr>
      </w:pPr>
    </w:p>
    <w:p w:rsidR="00B82023" w:rsidRPr="008E21AE" w:rsidRDefault="00B82023" w:rsidP="00B82023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20"/>
          <w:szCs w:val="20"/>
        </w:rPr>
      </w:pPr>
    </w:p>
    <w:p w:rsidR="00B82023" w:rsidRPr="008E21AE" w:rsidRDefault="00B82023" w:rsidP="00B82023">
      <w:pPr>
        <w:jc w:val="center"/>
        <w:rPr>
          <w:rFonts w:ascii="Poppins" w:hAnsi="Poppins" w:cs="Poppins"/>
          <w:b/>
          <w:bCs/>
        </w:rPr>
      </w:pPr>
    </w:p>
    <w:p w:rsidR="00B82023" w:rsidRPr="008E21AE" w:rsidRDefault="00B82023" w:rsidP="00B82023">
      <w:pPr>
        <w:shd w:val="clear" w:color="auto" w:fill="00B0F0"/>
        <w:tabs>
          <w:tab w:val="left" w:pos="255"/>
          <w:tab w:val="center" w:pos="4536"/>
        </w:tabs>
        <w:rPr>
          <w:rFonts w:ascii="Poppins" w:hAnsi="Poppins" w:cs="Poppins"/>
          <w:b/>
          <w:bCs/>
          <w:sz w:val="40"/>
          <w:szCs w:val="40"/>
        </w:rPr>
      </w:pPr>
      <w:r w:rsidRPr="008E21AE">
        <w:rPr>
          <w:rFonts w:ascii="Poppins" w:hAnsi="Poppins" w:cs="Poppins"/>
          <w:b/>
          <w:bCs/>
          <w:sz w:val="40"/>
          <w:szCs w:val="40"/>
        </w:rPr>
        <w:tab/>
      </w:r>
      <w:r w:rsidRPr="008E21AE">
        <w:rPr>
          <w:rFonts w:ascii="Poppins" w:hAnsi="Poppins" w:cs="Poppins"/>
          <w:b/>
          <w:bCs/>
          <w:sz w:val="40"/>
          <w:szCs w:val="40"/>
        </w:rPr>
        <w:tab/>
        <w:t>MEMOIRE TECHNIQUE</w:t>
      </w:r>
    </w:p>
    <w:p w:rsidR="00B82023" w:rsidRPr="008E21AE" w:rsidRDefault="00B82023" w:rsidP="00B82023">
      <w:pPr>
        <w:tabs>
          <w:tab w:val="left" w:pos="5415"/>
        </w:tabs>
        <w:rPr>
          <w:rFonts w:ascii="Poppins" w:hAnsi="Poppins" w:cs="Poppins"/>
          <w:b/>
          <w:bCs/>
        </w:rPr>
      </w:pPr>
      <w:r w:rsidRPr="008E21AE">
        <w:rPr>
          <w:rFonts w:ascii="Poppins" w:hAnsi="Poppins" w:cs="Poppins"/>
          <w:b/>
          <w:bCs/>
        </w:rPr>
        <w:tab/>
      </w:r>
    </w:p>
    <w:p w:rsidR="00B82023" w:rsidRPr="008E21AE" w:rsidRDefault="00B82023" w:rsidP="00B82023">
      <w:pPr>
        <w:widowControl w:val="0"/>
        <w:shd w:val="clear" w:color="auto" w:fill="FF0000"/>
        <w:autoSpaceDE w:val="0"/>
        <w:autoSpaceDN w:val="0"/>
        <w:adjustRightInd w:val="0"/>
        <w:ind w:left="117" w:right="111"/>
        <w:jc w:val="center"/>
        <w:rPr>
          <w:rFonts w:ascii="Poppins" w:hAnsi="Poppins" w:cs="Poppins"/>
        </w:rPr>
      </w:pPr>
      <w:r w:rsidRPr="008E21AE">
        <w:rPr>
          <w:rFonts w:ascii="Poppins" w:hAnsi="Poppins" w:cs="Poppins"/>
          <w:color w:val="FFFFFF"/>
          <w:sz w:val="36"/>
          <w:szCs w:val="36"/>
          <w:highlight w:val="red"/>
        </w:rPr>
        <w:t>Marché n°</w:t>
      </w:r>
      <w:r w:rsidR="0080069F" w:rsidRPr="008E21AE">
        <w:rPr>
          <w:rFonts w:ascii="Poppins" w:hAnsi="Poppins" w:cs="Poppins"/>
          <w:color w:val="FFFFFF"/>
          <w:sz w:val="36"/>
          <w:szCs w:val="36"/>
          <w:highlight w:val="red"/>
        </w:rPr>
        <w:t xml:space="preserve"> </w:t>
      </w:r>
      <w:r w:rsidR="00F94370">
        <w:rPr>
          <w:rFonts w:ascii="Poppins" w:hAnsi="Poppins" w:cs="Poppins"/>
          <w:color w:val="FFFFFF"/>
          <w:sz w:val="36"/>
          <w:szCs w:val="36"/>
          <w:highlight w:val="red"/>
        </w:rPr>
        <w:t>2025AD03</w:t>
      </w:r>
    </w:p>
    <w:p w:rsidR="00B82023" w:rsidRPr="008E21AE" w:rsidRDefault="00B82023" w:rsidP="009E6327">
      <w:pPr>
        <w:rPr>
          <w:rFonts w:ascii="Poppins" w:hAnsi="Poppins" w:cs="Poppi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6004"/>
      </w:tblGrid>
      <w:tr w:rsidR="00B82023" w:rsidRPr="004A1533" w:rsidTr="004A1533">
        <w:trPr>
          <w:trHeight w:val="653"/>
        </w:trPr>
        <w:tc>
          <w:tcPr>
            <w:tcW w:w="3058" w:type="dxa"/>
            <w:shd w:val="clear" w:color="auto" w:fill="auto"/>
            <w:vAlign w:val="center"/>
          </w:tcPr>
          <w:p w:rsidR="00B82023" w:rsidRPr="004A1533" w:rsidRDefault="00B82023" w:rsidP="004A1533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  <w:r w:rsidRPr="004A1533">
              <w:rPr>
                <w:rFonts w:ascii="Poppins" w:hAnsi="Poppins" w:cs="Poppins"/>
                <w:lang w:eastAsia="en-US"/>
              </w:rPr>
              <w:t>NOM DE L’ENTREPRISE</w:t>
            </w:r>
          </w:p>
        </w:tc>
        <w:tc>
          <w:tcPr>
            <w:tcW w:w="6004" w:type="dxa"/>
            <w:shd w:val="clear" w:color="auto" w:fill="auto"/>
            <w:vAlign w:val="center"/>
          </w:tcPr>
          <w:p w:rsidR="00B82023" w:rsidRPr="004A1533" w:rsidRDefault="00B82023" w:rsidP="004A1533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</w:p>
        </w:tc>
      </w:tr>
      <w:tr w:rsidR="00605E92" w:rsidRPr="004A1533" w:rsidTr="004A1533">
        <w:trPr>
          <w:trHeight w:val="653"/>
        </w:trPr>
        <w:tc>
          <w:tcPr>
            <w:tcW w:w="3058" w:type="dxa"/>
            <w:shd w:val="clear" w:color="auto" w:fill="auto"/>
            <w:vAlign w:val="center"/>
          </w:tcPr>
          <w:p w:rsidR="00605E92" w:rsidRPr="004A1533" w:rsidRDefault="00AE11DF" w:rsidP="004A1533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  <w:r w:rsidRPr="004A1533">
              <w:rPr>
                <w:rFonts w:ascii="Poppins" w:hAnsi="Poppins" w:cs="Poppins"/>
                <w:lang w:eastAsia="en-US"/>
              </w:rPr>
              <w:t>Variante obligatoire</w:t>
            </w:r>
          </w:p>
        </w:tc>
        <w:tc>
          <w:tcPr>
            <w:tcW w:w="6004" w:type="dxa"/>
            <w:shd w:val="clear" w:color="auto" w:fill="auto"/>
            <w:vAlign w:val="center"/>
          </w:tcPr>
          <w:p w:rsidR="00605E92" w:rsidRPr="004A1533" w:rsidRDefault="00605E92" w:rsidP="004A1533">
            <w:pPr>
              <w:spacing w:after="0" w:line="240" w:lineRule="auto"/>
              <w:rPr>
                <w:rFonts w:ascii="Poppins" w:hAnsi="Poppins" w:cs="Poppins"/>
                <w:lang w:eastAsia="en-US"/>
              </w:rPr>
            </w:pPr>
          </w:p>
        </w:tc>
      </w:tr>
    </w:tbl>
    <w:p w:rsidR="00B82023" w:rsidRPr="008E21AE" w:rsidRDefault="00B82023" w:rsidP="00B8202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Poppins" w:hAnsi="Poppins" w:cs="Poppins"/>
          <w:sz w:val="24"/>
          <w:szCs w:val="24"/>
        </w:rPr>
      </w:pPr>
    </w:p>
    <w:p w:rsidR="00B82023" w:rsidRPr="008E21AE" w:rsidRDefault="00605E92" w:rsidP="00605E9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Poppins" w:hAnsi="Poppins" w:cs="Poppins"/>
          <w:color w:val="000000"/>
          <w:sz w:val="18"/>
          <w:szCs w:val="18"/>
        </w:rPr>
      </w:pPr>
      <w:r w:rsidRPr="008E21AE">
        <w:rPr>
          <w:rFonts w:ascii="Poppins" w:hAnsi="Poppins" w:cs="Poppins"/>
          <w:sz w:val="20"/>
          <w:szCs w:val="18"/>
        </w:rPr>
        <w:br w:type="page"/>
      </w:r>
      <w:r w:rsidR="00B82023" w:rsidRPr="008E21AE">
        <w:rPr>
          <w:rFonts w:ascii="Poppins" w:hAnsi="Poppins" w:cs="Poppins"/>
          <w:sz w:val="18"/>
          <w:szCs w:val="18"/>
        </w:rPr>
        <w:lastRenderedPageBreak/>
        <w:t>Le présent mémoire technique a pour objet de juger la valeur technique de l’offre de l’entreprise au moyen d’un questionnaire.</w:t>
      </w:r>
    </w:p>
    <w:p w:rsidR="00B82023" w:rsidRPr="008E21AE" w:rsidRDefault="00B82023" w:rsidP="00B82023">
      <w:pPr>
        <w:pStyle w:val="Retraitducorpsdetexte"/>
        <w:spacing w:after="0" w:line="240" w:lineRule="auto"/>
        <w:ind w:left="0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Retraitducorpsdetexte"/>
        <w:spacing w:after="0" w:line="240" w:lineRule="auto"/>
        <w:ind w:left="0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>Le candidat doit indiquer, par item, les dispositions qu'il compte adopter en complément des conditions figurant au cahier des charges.</w:t>
      </w:r>
    </w:p>
    <w:p w:rsidR="00B82023" w:rsidRPr="008E21AE" w:rsidRDefault="00B82023" w:rsidP="00B82023">
      <w:pPr>
        <w:pStyle w:val="Retraitducorpsdetexte"/>
        <w:spacing w:after="0" w:line="240" w:lineRule="auto"/>
        <w:ind w:left="0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20"/>
          <w:szCs w:val="20"/>
        </w:rPr>
      </w:pPr>
      <w:r w:rsidRPr="008E21AE">
        <w:rPr>
          <w:rFonts w:ascii="Poppins" w:hAnsi="Poppins" w:cs="Poppins"/>
          <w:smallCaps/>
          <w:sz w:val="20"/>
          <w:szCs w:val="20"/>
        </w:rPr>
        <w:t>Les renseignements indiqués dans le mémoire technique doivent être liés directement à l’objet du marché, et ne doivent pas être une simple énumération des moyens généraux de l’entreprise.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b/>
          <w:color w:val="FF0000"/>
          <w:sz w:val="20"/>
          <w:szCs w:val="20"/>
        </w:rPr>
      </w:pPr>
      <w:r w:rsidRPr="008E21AE">
        <w:rPr>
          <w:rFonts w:ascii="Poppins" w:hAnsi="Poppins" w:cs="Poppins"/>
          <w:b/>
          <w:smallCaps/>
          <w:sz w:val="20"/>
          <w:szCs w:val="20"/>
        </w:rPr>
        <w:t>le présent mémoire technique doit obligatoirement être complété par le candidat</w:t>
      </w:r>
      <w:r w:rsidRPr="008E21AE">
        <w:rPr>
          <w:rFonts w:ascii="Poppins" w:hAnsi="Poppins" w:cs="Poppins"/>
          <w:b/>
          <w:smallCaps/>
          <w:color w:val="FF0000"/>
          <w:sz w:val="20"/>
          <w:szCs w:val="20"/>
        </w:rPr>
        <w:t xml:space="preserve"> sous peine d’irrégularité de l’offre.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 xml:space="preserve">Les différents éléments demandés sont à renseigner sur le présent document en le complétant par des documents annexes quand ils sont exigés. 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>Si le candidat le souhaite, des documents complémentaires peuvent être joints (en rapport direct avec l’objet du marché).</w:t>
      </w:r>
    </w:p>
    <w:p w:rsidR="00B82023" w:rsidRPr="008E21AE" w:rsidRDefault="00B82023" w:rsidP="00B82023">
      <w:pPr>
        <w:pStyle w:val="Standard"/>
        <w:spacing w:after="0" w:line="240" w:lineRule="auto"/>
        <w:rPr>
          <w:rFonts w:ascii="Poppins" w:hAnsi="Poppins" w:cs="Poppins"/>
          <w:sz w:val="18"/>
          <w:szCs w:val="18"/>
        </w:rPr>
      </w:pPr>
    </w:p>
    <w:p w:rsidR="00B82023" w:rsidRPr="008E21AE" w:rsidRDefault="00B82023" w:rsidP="00B82023">
      <w:pPr>
        <w:pStyle w:val="Standard"/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>Il est de plus rappelé que le présent mémoire technique est une pièce contractuelle du marché ; à ce titre, les informations et dispositions renseignées dans le présent document engagent contractuellement le titulaire quant au respect des moyens mis en œuvre pour l’exécution de ses prestations.</w:t>
      </w:r>
    </w:p>
    <w:p w:rsidR="00006390" w:rsidRPr="008E21AE" w:rsidRDefault="00006390" w:rsidP="00B82023">
      <w:pPr>
        <w:rPr>
          <w:rFonts w:ascii="Poppins" w:hAnsi="Poppins" w:cs="Poppins"/>
          <w:b/>
          <w:sz w:val="20"/>
          <w:szCs w:val="18"/>
          <w:u w:val="single"/>
        </w:rPr>
      </w:pPr>
    </w:p>
    <w:p w:rsidR="00B82023" w:rsidRPr="008E21AE" w:rsidRDefault="00B82023" w:rsidP="00B82023">
      <w:pPr>
        <w:rPr>
          <w:rFonts w:ascii="Poppins" w:hAnsi="Poppins" w:cs="Poppins"/>
          <w:b/>
          <w:sz w:val="18"/>
          <w:szCs w:val="18"/>
          <w:u w:val="single"/>
        </w:rPr>
      </w:pPr>
      <w:r w:rsidRPr="008E21AE">
        <w:rPr>
          <w:rFonts w:ascii="Poppins" w:hAnsi="Poppins" w:cs="Poppins"/>
          <w:b/>
          <w:sz w:val="18"/>
          <w:szCs w:val="18"/>
          <w:u w:val="single"/>
        </w:rPr>
        <w:t>NOTATION </w:t>
      </w:r>
      <w:r w:rsidR="00F4673F" w:rsidRPr="008E21AE">
        <w:rPr>
          <w:rFonts w:ascii="Poppins" w:hAnsi="Poppins" w:cs="Poppins"/>
          <w:b/>
          <w:sz w:val="18"/>
          <w:szCs w:val="18"/>
          <w:u w:val="single"/>
        </w:rPr>
        <w:t xml:space="preserve">DE LA VALEUR TECHNIQUE </w:t>
      </w:r>
      <w:r w:rsidRPr="008E21AE">
        <w:rPr>
          <w:rFonts w:ascii="Poppins" w:hAnsi="Poppins" w:cs="Poppins"/>
          <w:b/>
          <w:sz w:val="18"/>
          <w:szCs w:val="18"/>
          <w:u w:val="single"/>
        </w:rPr>
        <w:t>:</w:t>
      </w:r>
    </w:p>
    <w:p w:rsidR="00B82023" w:rsidRPr="008E21AE" w:rsidRDefault="00810145" w:rsidP="00B82023">
      <w:pPr>
        <w:spacing w:before="100" w:beforeAutospacing="1" w:after="100" w:afterAutospacing="1"/>
        <w:rPr>
          <w:rFonts w:ascii="Poppins" w:hAnsi="Poppins" w:cs="Poppins"/>
          <w:sz w:val="18"/>
          <w:szCs w:val="18"/>
        </w:rPr>
      </w:pPr>
      <w:r w:rsidRPr="008E21AE">
        <w:rPr>
          <w:rFonts w:ascii="Poppins" w:hAnsi="Poppins" w:cs="Poppins"/>
          <w:sz w:val="18"/>
          <w:szCs w:val="18"/>
        </w:rPr>
        <w:t xml:space="preserve">L’appréciation de la valeur technique est décomposée en plusieurs items. </w:t>
      </w:r>
      <w:r w:rsidR="00B82023" w:rsidRPr="008E21AE">
        <w:rPr>
          <w:rFonts w:ascii="Poppins" w:hAnsi="Poppins" w:cs="Poppins"/>
          <w:sz w:val="18"/>
          <w:szCs w:val="18"/>
        </w:rPr>
        <w:t>Chaque item sera noté de 0 à 4 de la façon suivante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8"/>
        <w:gridCol w:w="4961"/>
        <w:gridCol w:w="2127"/>
      </w:tblGrid>
      <w:tr w:rsidR="00F4673F" w:rsidRPr="004A1533" w:rsidTr="008B1A26">
        <w:trPr>
          <w:trHeight w:val="275"/>
        </w:trPr>
        <w:tc>
          <w:tcPr>
            <w:tcW w:w="1878" w:type="dxa"/>
            <w:tcBorders>
              <w:top w:val="single" w:sz="4" w:space="0" w:color="333F4F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Absence de réponse</w:t>
            </w:r>
          </w:p>
        </w:tc>
        <w:tc>
          <w:tcPr>
            <w:tcW w:w="4961" w:type="dxa"/>
            <w:tcBorders>
              <w:top w:val="single" w:sz="4" w:space="0" w:color="333F4F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Aucune information fournie</w:t>
            </w:r>
          </w:p>
        </w:tc>
        <w:tc>
          <w:tcPr>
            <w:tcW w:w="2127" w:type="dxa"/>
            <w:tcBorders>
              <w:top w:val="single" w:sz="4" w:space="0" w:color="333F4F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0 sur 4</w:t>
            </w:r>
          </w:p>
        </w:tc>
      </w:tr>
      <w:tr w:rsidR="00F4673F" w:rsidRPr="004A1533" w:rsidTr="008B1A26">
        <w:trPr>
          <w:trHeight w:val="275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insuffisante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imprécise et/ou avec des manques.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1 sur 4</w:t>
            </w:r>
          </w:p>
        </w:tc>
      </w:tr>
      <w:tr w:rsidR="00F4673F" w:rsidRPr="004A1533" w:rsidTr="008B1A26">
        <w:trPr>
          <w:trHeight w:val="826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convenable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générique répondant globalement aux exigences des documents de la consultation mais sans apport notable et/ou contextualisation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2 sur 4</w:t>
            </w:r>
          </w:p>
        </w:tc>
      </w:tr>
      <w:tr w:rsidR="00F4673F" w:rsidRPr="004A1533" w:rsidTr="008B1A26">
        <w:trPr>
          <w:trHeight w:val="275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4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satisfaisante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333F4F"/>
              <w:right w:val="single" w:sz="4" w:space="0" w:color="333F4F"/>
            </w:tcBorders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précise avec des éléments pertinents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3 sur 4</w:t>
            </w:r>
          </w:p>
        </w:tc>
      </w:tr>
      <w:tr w:rsidR="00F4673F" w:rsidRPr="004A1533" w:rsidTr="008B1A26">
        <w:trPr>
          <w:trHeight w:val="840"/>
        </w:trPr>
        <w:tc>
          <w:tcPr>
            <w:tcW w:w="1878" w:type="dxa"/>
            <w:tcBorders>
              <w:top w:val="nil"/>
              <w:left w:val="single" w:sz="8" w:space="0" w:color="333F4F"/>
              <w:bottom w:val="single" w:sz="8" w:space="0" w:color="333F4F"/>
              <w:right w:val="single" w:sz="4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très satisfaisante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333F4F"/>
              <w:right w:val="single" w:sz="4" w:space="0" w:color="333F4F"/>
            </w:tcBorders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Réponse correspondant parfaitement au besoin avec un effort de contextualisation et une plus-value notable.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333F4F"/>
              <w:right w:val="single" w:sz="8" w:space="0" w:color="333F4F"/>
            </w:tcBorders>
            <w:noWrap/>
            <w:vAlign w:val="center"/>
            <w:hideMark/>
          </w:tcPr>
          <w:p w:rsidR="00F4673F" w:rsidRPr="004A1533" w:rsidRDefault="00F4673F" w:rsidP="008B1A26">
            <w:pPr>
              <w:rPr>
                <w:rFonts w:ascii="Poppins" w:hAnsi="Poppins" w:cs="Poppins"/>
                <w:color w:val="000000"/>
                <w:sz w:val="16"/>
                <w:szCs w:val="16"/>
              </w:rPr>
            </w:pPr>
            <w:r w:rsidRPr="004A1533">
              <w:rPr>
                <w:rFonts w:ascii="Poppins" w:hAnsi="Poppins" w:cs="Poppins"/>
                <w:color w:val="000000"/>
                <w:sz w:val="16"/>
                <w:szCs w:val="16"/>
              </w:rPr>
              <w:t>4 sur 4</w:t>
            </w:r>
          </w:p>
        </w:tc>
      </w:tr>
    </w:tbl>
    <w:p w:rsidR="00B82023" w:rsidRPr="008E21AE" w:rsidRDefault="00B82023" w:rsidP="00B82023">
      <w:pPr>
        <w:rPr>
          <w:rFonts w:ascii="Poppins" w:hAnsi="Poppins" w:cs="Poppins"/>
          <w:b/>
          <w:sz w:val="18"/>
          <w:szCs w:val="18"/>
          <w:u w:val="single"/>
        </w:rPr>
      </w:pPr>
    </w:p>
    <w:p w:rsidR="005B569F" w:rsidRPr="008E21AE" w:rsidRDefault="00F4673F" w:rsidP="005B569F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08" w:right="108"/>
        <w:jc w:val="both"/>
        <w:rPr>
          <w:rFonts w:ascii="Poppins" w:hAnsi="Poppins" w:cs="Poppins"/>
          <w:color w:val="000000"/>
          <w:sz w:val="18"/>
          <w:szCs w:val="18"/>
        </w:rPr>
      </w:pPr>
      <w:r w:rsidRPr="008E21AE">
        <w:rPr>
          <w:rFonts w:ascii="Poppins" w:hAnsi="Poppins" w:cs="Poppins"/>
          <w:color w:val="000000"/>
          <w:sz w:val="18"/>
          <w:szCs w:val="18"/>
        </w:rPr>
        <w:t>La note sur 4 fait ensuite l’objet de la pondération affectée à chaque item</w:t>
      </w:r>
      <w:r w:rsidR="005B569F" w:rsidRPr="008E21AE">
        <w:rPr>
          <w:rFonts w:ascii="Poppins" w:hAnsi="Poppins" w:cs="Poppins"/>
          <w:color w:val="000000"/>
          <w:sz w:val="18"/>
          <w:szCs w:val="18"/>
        </w:rPr>
        <w:t xml:space="preserve">. Le total des points obtenus donne </w:t>
      </w:r>
      <w:r w:rsidRPr="008E21AE">
        <w:rPr>
          <w:rFonts w:ascii="Poppins" w:hAnsi="Poppins" w:cs="Poppins"/>
          <w:color w:val="000000"/>
          <w:sz w:val="18"/>
          <w:szCs w:val="18"/>
        </w:rPr>
        <w:t>la notation de la valeur technique.</w:t>
      </w:r>
    </w:p>
    <w:p w:rsidR="00F4673F" w:rsidRPr="008E21AE" w:rsidRDefault="00F4673F" w:rsidP="005B569F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08" w:right="108"/>
        <w:jc w:val="both"/>
        <w:rPr>
          <w:rFonts w:ascii="Poppins" w:hAnsi="Poppins" w:cs="Poppins"/>
          <w:color w:val="000000"/>
          <w:sz w:val="18"/>
          <w:szCs w:val="18"/>
        </w:rPr>
      </w:pPr>
    </w:p>
    <w:p w:rsidR="00605E92" w:rsidRDefault="00605E92" w:rsidP="0080069F">
      <w:pPr>
        <w:rPr>
          <w:rFonts w:ascii="Poppins" w:hAnsi="Poppins" w:cs="Poppins"/>
          <w:sz w:val="18"/>
          <w:szCs w:val="18"/>
        </w:rPr>
      </w:pPr>
    </w:p>
    <w:p w:rsidR="00F94370" w:rsidRDefault="00F94370" w:rsidP="0080069F">
      <w:pPr>
        <w:rPr>
          <w:rFonts w:ascii="Poppins" w:hAnsi="Poppins" w:cs="Poppins"/>
          <w:sz w:val="24"/>
          <w:szCs w:val="24"/>
        </w:rPr>
      </w:pPr>
    </w:p>
    <w:p w:rsidR="00AE11DF" w:rsidRDefault="00AE11DF" w:rsidP="0080069F">
      <w:pPr>
        <w:rPr>
          <w:rFonts w:ascii="Poppins" w:hAnsi="Poppins" w:cs="Poppins"/>
          <w:sz w:val="24"/>
          <w:szCs w:val="24"/>
        </w:rPr>
      </w:pPr>
    </w:p>
    <w:p w:rsidR="00AE11DF" w:rsidRDefault="00AE11DF" w:rsidP="0080069F">
      <w:pPr>
        <w:rPr>
          <w:rFonts w:ascii="Poppins" w:hAnsi="Poppins" w:cs="Poppins"/>
          <w:sz w:val="24"/>
          <w:szCs w:val="24"/>
        </w:rPr>
      </w:pPr>
    </w:p>
    <w:p w:rsidR="00F94370" w:rsidRDefault="00F94370" w:rsidP="0080069F">
      <w:pPr>
        <w:rPr>
          <w:rFonts w:ascii="Poppins" w:hAnsi="Poppins" w:cs="Poppins"/>
          <w:sz w:val="24"/>
          <w:szCs w:val="24"/>
        </w:rPr>
      </w:pPr>
    </w:p>
    <w:p w:rsidR="00AE11DF" w:rsidRDefault="00AE11DF" w:rsidP="00AE11DF">
      <w:pPr>
        <w:jc w:val="center"/>
        <w:rPr>
          <w:rFonts w:ascii="Poppins" w:hAnsi="Poppins" w:cs="Poppins"/>
          <w:b/>
          <w:sz w:val="24"/>
          <w:szCs w:val="24"/>
        </w:rPr>
      </w:pPr>
      <w:r>
        <w:rPr>
          <w:rFonts w:ascii="Poppins" w:hAnsi="Poppins" w:cs="Poppins"/>
          <w:b/>
          <w:sz w:val="24"/>
          <w:szCs w:val="24"/>
        </w:rPr>
        <w:t>ITEMS VALEUR TECHNIQUE</w:t>
      </w:r>
    </w:p>
    <w:p w:rsidR="00AE11DF" w:rsidRDefault="00AE11DF" w:rsidP="00AE11DF">
      <w:pPr>
        <w:rPr>
          <w:rFonts w:ascii="Poppins" w:hAnsi="Poppins" w:cs="Poppins"/>
          <w:b/>
        </w:rPr>
      </w:pPr>
      <w:r>
        <w:rPr>
          <w:rFonts w:ascii="Poppins" w:hAnsi="Poppins" w:cs="Poppins"/>
          <w:b/>
        </w:rPr>
        <w:t>Variante Obligatoire</w:t>
      </w:r>
    </w:p>
    <w:p w:rsidR="00AE11DF" w:rsidRDefault="00AE11DF" w:rsidP="00AE11DF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Poppins" w:hAnsi="Poppins" w:cs="Poppins"/>
          <w:color w:val="000000"/>
          <w:sz w:val="12"/>
          <w:szCs w:val="12"/>
        </w:rPr>
      </w:pPr>
    </w:p>
    <w:tbl>
      <w:tblPr>
        <w:tblW w:w="9810" w:type="dxa"/>
        <w:tblInd w:w="-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5960"/>
      </w:tblGrid>
      <w:tr w:rsidR="00AE11DF" w:rsidRPr="004A1533" w:rsidTr="00AE11DF">
        <w:tc>
          <w:tcPr>
            <w:tcW w:w="385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  <w:hideMark/>
          </w:tcPr>
          <w:p w:rsidR="00AE11DF" w:rsidRPr="004A1533" w:rsidRDefault="00E67114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Poppins" w:hAnsi="Poppins" w:cs="Poppins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sz w:val="18"/>
                <w:szCs w:val="18"/>
                <w:lang w:eastAsia="en-US"/>
              </w:rPr>
              <w:t>Composition</w:t>
            </w:r>
            <w:r w:rsidR="00AE11DF" w:rsidRPr="004A1533">
              <w:rPr>
                <w:rFonts w:ascii="Poppins" w:hAnsi="Poppins" w:cs="Poppins"/>
                <w:b/>
                <w:sz w:val="18"/>
                <w:szCs w:val="18"/>
                <w:lang w:eastAsia="en-US"/>
              </w:rPr>
              <w:t xml:space="preserve"> de l’équipe projet</w:t>
            </w:r>
            <w:r w:rsidR="00AE11DF"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</w:t>
            </w:r>
            <w:r w:rsidR="004E758F">
              <w:rPr>
                <w:rFonts w:ascii="Poppins" w:hAnsi="Poppins" w:cs="Poppins"/>
                <w:sz w:val="18"/>
                <w:szCs w:val="18"/>
                <w:lang w:eastAsia="en-US"/>
              </w:rPr>
              <w:t>10</w:t>
            </w:r>
            <w:r w:rsidR="00AE11DF"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points) </w:t>
            </w:r>
            <w:r w:rsidR="00AE11DF" w:rsidRPr="004A1533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 xml:space="preserve">Limité à 5 pages </w:t>
            </w:r>
          </w:p>
        </w:tc>
        <w:tc>
          <w:tcPr>
            <w:tcW w:w="596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Poppins" w:hAnsi="Poppins" w:cs="Poppins"/>
                <w:color w:val="000000"/>
                <w:sz w:val="4"/>
                <w:szCs w:val="4"/>
                <w:lang w:eastAsia="en-US"/>
              </w:rPr>
            </w:pPr>
          </w:p>
          <w:p w:rsidR="00E67114" w:rsidRPr="004A1533" w:rsidRDefault="00E67114" w:rsidP="00E67114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</w:rPr>
              <w:t>Composition de l’équipe et effectifs dédiés</w:t>
            </w:r>
            <w:r w:rsidRPr="004A1533">
              <w:rPr>
                <w:rFonts w:ascii="Poppins" w:hAnsi="Poppins" w:cs="Poppins"/>
                <w:sz w:val="18"/>
                <w:szCs w:val="18"/>
              </w:rPr>
              <w:t xml:space="preserve"> (Identification des membres affectés à la mission)</w:t>
            </w:r>
          </w:p>
          <w:p w:rsidR="00E67114" w:rsidRPr="004A1533" w:rsidRDefault="00E67114" w:rsidP="00E67114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</w:rPr>
              <w:t>Répartition des rôles et responsabilités</w:t>
            </w:r>
            <w:r w:rsidRPr="004A1533">
              <w:rPr>
                <w:rFonts w:ascii="Poppins" w:hAnsi="Poppins" w:cs="Poppins"/>
                <w:sz w:val="18"/>
                <w:szCs w:val="18"/>
              </w:rPr>
              <w:t xml:space="preserve"> (Description des fonctions précises de chaque intervenant (ex. : géomètre, projeteur, BIM modeleur, chef de projet, etc.)</w:t>
            </w:r>
          </w:p>
          <w:p w:rsidR="00AE11DF" w:rsidRPr="004A1533" w:rsidRDefault="00E67114" w:rsidP="00E67114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</w:rPr>
              <w:t>CV, qualifications, diplômes</w:t>
            </w:r>
          </w:p>
        </w:tc>
      </w:tr>
      <w:tr w:rsidR="00AE11DF" w:rsidRPr="004A1533" w:rsidTr="00AE11DF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  <w:t>Réponse du candidat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> :</w:t>
            </w: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</w:tc>
      </w:tr>
    </w:tbl>
    <w:p w:rsidR="00AE11DF" w:rsidRDefault="00AE11DF" w:rsidP="00AE11DF">
      <w:pPr>
        <w:rPr>
          <w:rFonts w:ascii="Poppins" w:hAnsi="Poppins" w:cs="Poppins"/>
        </w:rPr>
      </w:pPr>
    </w:p>
    <w:tbl>
      <w:tblPr>
        <w:tblW w:w="9810" w:type="dxa"/>
        <w:tblInd w:w="-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1"/>
        <w:gridCol w:w="5399"/>
      </w:tblGrid>
      <w:tr w:rsidR="00AE11DF" w:rsidRPr="004A1533" w:rsidTr="00AE11DF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  <w:hideMark/>
          </w:tcPr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right="94"/>
              <w:rPr>
                <w:rFonts w:ascii="Poppins" w:hAnsi="Poppins" w:cs="Poppins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sz w:val="18"/>
                <w:szCs w:val="18"/>
                <w:lang w:eastAsia="en-US"/>
              </w:rPr>
              <w:t>Méthodologie proposée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</w:t>
            </w:r>
            <w:r w:rsidR="008733A0">
              <w:rPr>
                <w:rFonts w:ascii="Poppins" w:hAnsi="Poppins" w:cs="Poppins"/>
                <w:sz w:val="18"/>
                <w:szCs w:val="18"/>
                <w:lang w:eastAsia="en-US"/>
              </w:rPr>
              <w:t>15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points) Limité</w:t>
            </w:r>
            <w:r w:rsidRPr="004A1533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 xml:space="preserve"> à 5 pages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AE11DF" w:rsidRPr="004A1533" w:rsidRDefault="00AE11DF" w:rsidP="00617BEE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>Compréhension globale de la mission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(Reprise des objectifs : maquette IFC compatible A3D / Analyse des enjeux du site : accessibilité, bâtiments occupés, configuration, etc.)</w:t>
            </w:r>
          </w:p>
          <w:p w:rsidR="00AE11DF" w:rsidRPr="004A1533" w:rsidRDefault="00AE11DF" w:rsidP="00617BEE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>Déroulement détaillé des prestations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(Phasage clair (prise de contact, repérage, relevés, DAO/maquette, livrables)</w:t>
            </w:r>
          </w:p>
          <w:p w:rsidR="00AE11DF" w:rsidRPr="004A1533" w:rsidRDefault="00AE11DF" w:rsidP="00617BEE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>Méthodes de relevé et outils mobilisés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(Usage du scanner 3D pour la maquette / Procédures de contrôle qualité des données relevées et livrées)</w:t>
            </w:r>
          </w:p>
          <w:p w:rsidR="00AE11DF" w:rsidRPr="004A1533" w:rsidRDefault="00617BEE" w:rsidP="00617BEE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sz w:val="18"/>
                <w:szCs w:val="18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</w:rPr>
              <w:t xml:space="preserve">Modalités de restitution et accompagnement à l’intégration </w:t>
            </w:r>
            <w:r w:rsidRPr="004A1533">
              <w:rPr>
                <w:rFonts w:ascii="Poppins" w:hAnsi="Poppins" w:cs="Poppins"/>
                <w:sz w:val="18"/>
                <w:szCs w:val="18"/>
              </w:rPr>
              <w:t>(organisation des fichiers, structuration, guide utilisateur, réunion de passation, bonnes pratiques pour faciliter l’exploitation par le maître d’ouvrage).</w:t>
            </w:r>
          </w:p>
        </w:tc>
      </w:tr>
      <w:tr w:rsidR="00AE11DF" w:rsidRPr="004A1533" w:rsidTr="00AE11DF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  <w:t>Réponse du candidat :</w:t>
            </w: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</w:tc>
      </w:tr>
    </w:tbl>
    <w:p w:rsidR="00AE11DF" w:rsidRDefault="00AE11DF" w:rsidP="00AE11DF">
      <w:pPr>
        <w:rPr>
          <w:rFonts w:ascii="Poppins" w:hAnsi="Poppins" w:cs="Poppins"/>
        </w:rPr>
      </w:pPr>
    </w:p>
    <w:p w:rsidR="00915FA7" w:rsidRDefault="00915FA7" w:rsidP="00AE11DF">
      <w:pPr>
        <w:rPr>
          <w:rFonts w:ascii="Poppins" w:hAnsi="Poppins" w:cs="Poppins"/>
        </w:rPr>
      </w:pPr>
    </w:p>
    <w:p w:rsidR="00915FA7" w:rsidRDefault="00915FA7" w:rsidP="00AE11DF">
      <w:pPr>
        <w:rPr>
          <w:rFonts w:ascii="Poppins" w:hAnsi="Poppins" w:cs="Poppins"/>
        </w:rPr>
      </w:pPr>
      <w:bookmarkStart w:id="0" w:name="_GoBack"/>
      <w:bookmarkEnd w:id="0"/>
    </w:p>
    <w:tbl>
      <w:tblPr>
        <w:tblW w:w="9810" w:type="dxa"/>
        <w:tblInd w:w="-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1"/>
        <w:gridCol w:w="5399"/>
      </w:tblGrid>
      <w:tr w:rsidR="00AE11DF" w:rsidRPr="004A1533" w:rsidTr="00AE11DF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  <w:hideMark/>
          </w:tcPr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right="94"/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sz w:val="18"/>
                <w:szCs w:val="18"/>
                <w:lang w:eastAsia="en-US"/>
              </w:rPr>
              <w:t>Moyens matériels et outils affectés à la mission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</w:t>
            </w:r>
            <w:r w:rsidR="000900F9">
              <w:rPr>
                <w:rFonts w:ascii="Poppins" w:hAnsi="Poppins" w:cs="Poppins"/>
                <w:sz w:val="18"/>
                <w:szCs w:val="18"/>
                <w:lang w:eastAsia="en-US"/>
              </w:rPr>
              <w:t>5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points) </w:t>
            </w:r>
            <w:r w:rsidRPr="004A1533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 xml:space="preserve">Limité à </w:t>
            </w:r>
            <w:r w:rsidR="000900F9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>3</w:t>
            </w:r>
            <w:r w:rsidRPr="004A1533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 xml:space="preserve"> pages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  <w:hideMark/>
          </w:tcPr>
          <w:p w:rsidR="00AE11DF" w:rsidRPr="004A1533" w:rsidRDefault="00AE11DF" w:rsidP="00AE11DF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>Matériel spécifique mobilisé</w:t>
            </w:r>
            <w:r w:rsidR="00431431"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 : 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>Scanner 3D (modèle et précision) pour la maquette</w:t>
            </w:r>
          </w:p>
          <w:p w:rsidR="00AE11DF" w:rsidRPr="004A1533" w:rsidRDefault="00AE11DF" w:rsidP="00AE11DF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color w:val="000000"/>
                <w:sz w:val="16"/>
                <w:szCs w:val="16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>Logiciels utilisés</w:t>
            </w:r>
            <w:r w:rsidR="00466E47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>BIM (ex : Revit, ou logiciel exportant vers IFC) / Logiciel de traitement du nuage de points / Compatibilité assurée avec A3D (Sopra Steria)</w:t>
            </w:r>
            <w:r w:rsidRPr="004A1533">
              <w:rPr>
                <w:rFonts w:ascii="Poppins" w:hAnsi="Poppins" w:cs="Poppins"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AE11DF" w:rsidRPr="004A1533" w:rsidTr="00AE11DF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  <w:t>Réponse du candidat :</w:t>
            </w: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</w:tc>
      </w:tr>
    </w:tbl>
    <w:p w:rsidR="00AE11DF" w:rsidRDefault="00AE11DF" w:rsidP="00AE11DF">
      <w:pPr>
        <w:spacing w:after="0"/>
        <w:rPr>
          <w:vanish/>
        </w:rPr>
      </w:pPr>
    </w:p>
    <w:tbl>
      <w:tblPr>
        <w:tblpPr w:leftFromText="141" w:rightFromText="141" w:bottomFromText="160" w:vertAnchor="text" w:horzAnchor="margin" w:tblpY="605"/>
        <w:tblW w:w="9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1"/>
        <w:gridCol w:w="5399"/>
      </w:tblGrid>
      <w:tr w:rsidR="00AE11DF" w:rsidRPr="004A1533" w:rsidTr="00AE11DF"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  <w:hideMark/>
          </w:tcPr>
          <w:p w:rsidR="00AE11DF" w:rsidRPr="004A1533" w:rsidRDefault="00E4316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right="94"/>
              <w:rPr>
                <w:rFonts w:ascii="Poppins" w:hAnsi="Poppins" w:cs="Poppins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sz w:val="18"/>
                <w:szCs w:val="18"/>
              </w:rPr>
              <w:t>Calendrier des prestations proposées et gestion du planning</w:t>
            </w:r>
            <w:r w:rsidRPr="004A1533">
              <w:rPr>
                <w:rFonts w:ascii="Poppins" w:hAnsi="Poppins" w:cs="Poppins"/>
                <w:sz w:val="18"/>
                <w:szCs w:val="18"/>
              </w:rPr>
              <w:t xml:space="preserve"> </w:t>
            </w:r>
            <w:r w:rsidR="00AE11DF"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>(</w:t>
            </w:r>
            <w:r w:rsidR="008733A0">
              <w:rPr>
                <w:rFonts w:ascii="Poppins" w:hAnsi="Poppins" w:cs="Poppins"/>
                <w:sz w:val="18"/>
                <w:szCs w:val="18"/>
                <w:lang w:eastAsia="en-US"/>
              </w:rPr>
              <w:t>1</w:t>
            </w:r>
            <w:r w:rsidR="004E758F">
              <w:rPr>
                <w:rFonts w:ascii="Poppins" w:hAnsi="Poppins" w:cs="Poppins"/>
                <w:sz w:val="18"/>
                <w:szCs w:val="18"/>
                <w:lang w:eastAsia="en-US"/>
              </w:rPr>
              <w:t>0</w:t>
            </w:r>
            <w:r w:rsidR="00AE11DF"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points) </w:t>
            </w:r>
            <w:r w:rsidR="00AE11DF" w:rsidRPr="004A1533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 xml:space="preserve">Limité à </w:t>
            </w:r>
            <w:r w:rsidR="000900F9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>5</w:t>
            </w:r>
            <w:r w:rsidR="00AE11DF" w:rsidRPr="004A1533">
              <w:rPr>
                <w:rFonts w:ascii="Poppins" w:hAnsi="Poppins" w:cs="Poppins"/>
                <w:color w:val="000000"/>
                <w:sz w:val="18"/>
                <w:szCs w:val="18"/>
                <w:lang w:eastAsia="en-US"/>
              </w:rPr>
              <w:t xml:space="preserve"> pages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  <w:hideMark/>
          </w:tcPr>
          <w:p w:rsidR="00AE11DF" w:rsidRPr="004A1533" w:rsidRDefault="00AE11DF" w:rsidP="00AE11DF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>Respect des délais contractuels annoncés dans le CCTP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(Position claire sur la capacité à tenir les délais de chaque phase en tenant compte des contraintes de l’IUT et de la période de fermeture universitaire de fin d’année)</w:t>
            </w:r>
          </w:p>
          <w:p w:rsidR="00AE11DF" w:rsidRPr="004A1533" w:rsidRDefault="00AE11DF" w:rsidP="00AE11DF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 xml:space="preserve">Planning détaillé de réalisation </w:t>
            </w:r>
            <w:r w:rsidRPr="004A1533">
              <w:rPr>
                <w:rFonts w:ascii="Poppins" w:hAnsi="Poppins" w:cs="Poppins"/>
                <w:bCs/>
                <w:sz w:val="18"/>
                <w:szCs w:val="18"/>
                <w:lang w:eastAsia="en-US"/>
              </w:rPr>
              <w:t>(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>Calendrier prévisionnel par tâche : phase terrain, maquette / Intégration des délais de validation de la maquette sur la plateforme A3D</w:t>
            </w:r>
          </w:p>
          <w:p w:rsidR="00AE11DF" w:rsidRPr="004A1533" w:rsidRDefault="00AE11DF" w:rsidP="00AE11DF">
            <w:pPr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b/>
                <w:bCs/>
                <w:sz w:val="18"/>
                <w:szCs w:val="18"/>
                <w:lang w:eastAsia="en-US"/>
              </w:rPr>
              <w:t>Gestion des imprévus</w:t>
            </w:r>
            <w:r w:rsidRPr="004A1533">
              <w:rPr>
                <w:rFonts w:ascii="Poppins" w:hAnsi="Poppins" w:cs="Poppins"/>
                <w:sz w:val="18"/>
                <w:szCs w:val="18"/>
                <w:lang w:eastAsia="en-US"/>
              </w:rPr>
              <w:t xml:space="preserve"> (Capacité à ajuster les ressources humaines ou techniques en cas de problème)</w:t>
            </w:r>
          </w:p>
        </w:tc>
      </w:tr>
      <w:tr w:rsidR="00AE11DF" w:rsidRPr="004A1533" w:rsidTr="00AE11DF"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  <w:t>Réponse du candidat :</w:t>
            </w: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4A1533"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i/>
                <w:iCs/>
                <w:color w:val="000000"/>
                <w:sz w:val="18"/>
                <w:szCs w:val="18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  <w:p w:rsidR="00AE11DF" w:rsidRPr="004A1533" w:rsidRDefault="00AE11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jc w:val="both"/>
              <w:rPr>
                <w:rFonts w:ascii="Poppins" w:hAnsi="Poppins" w:cs="Poppins"/>
                <w:sz w:val="24"/>
                <w:szCs w:val="24"/>
                <w:lang w:eastAsia="en-US"/>
              </w:rPr>
            </w:pPr>
          </w:p>
        </w:tc>
      </w:tr>
    </w:tbl>
    <w:p w:rsidR="00AE11DF" w:rsidRDefault="00AE11DF" w:rsidP="00AE11DF">
      <w:pPr>
        <w:rPr>
          <w:rFonts w:ascii="Poppins" w:hAnsi="Poppins" w:cs="Poppins"/>
        </w:rPr>
      </w:pPr>
    </w:p>
    <w:p w:rsidR="00AE11DF" w:rsidRDefault="00AE11DF" w:rsidP="00AE11DF">
      <w:pPr>
        <w:tabs>
          <w:tab w:val="left" w:pos="3936"/>
        </w:tabs>
        <w:rPr>
          <w:rFonts w:ascii="Poppins" w:hAnsi="Poppins" w:cs="Poppins"/>
        </w:rPr>
      </w:pPr>
    </w:p>
    <w:p w:rsidR="00AE11DF" w:rsidRDefault="00AE11DF" w:rsidP="00AE11DF">
      <w:pPr>
        <w:rPr>
          <w:rFonts w:ascii="Poppins" w:hAnsi="Poppins" w:cs="Poppins"/>
        </w:rPr>
      </w:pPr>
    </w:p>
    <w:p w:rsidR="00AE11DF" w:rsidRDefault="00AE11DF" w:rsidP="00AE11DF">
      <w:pPr>
        <w:rPr>
          <w:rFonts w:ascii="Poppins" w:hAnsi="Poppins" w:cs="Poppins"/>
        </w:rPr>
      </w:pPr>
    </w:p>
    <w:p w:rsidR="00AE11DF" w:rsidRDefault="00AE11DF" w:rsidP="00AE11DF">
      <w:pPr>
        <w:rPr>
          <w:rFonts w:ascii="Poppins" w:hAnsi="Poppins" w:cs="Poppins"/>
        </w:rPr>
      </w:pPr>
    </w:p>
    <w:p w:rsidR="00AE11DF" w:rsidRDefault="00AE11DF" w:rsidP="00AE11DF">
      <w:pPr>
        <w:rPr>
          <w:rFonts w:ascii="Poppins" w:hAnsi="Poppins" w:cs="Poppins"/>
        </w:rPr>
      </w:pPr>
    </w:p>
    <w:p w:rsidR="00AE11DF" w:rsidRDefault="00AE11DF" w:rsidP="00AE11DF">
      <w:pPr>
        <w:rPr>
          <w:rFonts w:ascii="Poppins" w:hAnsi="Poppins" w:cs="Poppins"/>
        </w:rPr>
      </w:pPr>
    </w:p>
    <w:p w:rsidR="00AE11DF" w:rsidRDefault="00AE11DF" w:rsidP="00AE11DF">
      <w:pPr>
        <w:rPr>
          <w:rFonts w:ascii="Poppins" w:hAnsi="Poppins" w:cs="Poppins"/>
        </w:rPr>
      </w:pPr>
    </w:p>
    <w:p w:rsidR="00F94370" w:rsidRPr="008E21AE" w:rsidRDefault="00F94370" w:rsidP="0080069F">
      <w:pPr>
        <w:rPr>
          <w:rFonts w:ascii="Poppins" w:hAnsi="Poppins" w:cs="Poppins"/>
          <w:sz w:val="24"/>
          <w:szCs w:val="24"/>
        </w:rPr>
      </w:pPr>
    </w:p>
    <w:sectPr w:rsidR="00F94370" w:rsidRPr="008E21AE" w:rsidSect="00B82023">
      <w:footerReference w:type="default" r:id="rId7"/>
      <w:headerReference w:type="first" r:id="rId8"/>
      <w:pgSz w:w="11900" w:h="16820"/>
      <w:pgMar w:top="840" w:right="1300" w:bottom="1400" w:left="1300" w:header="0" w:footer="708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052" w:rsidRDefault="00647052">
      <w:pPr>
        <w:spacing w:after="0" w:line="240" w:lineRule="auto"/>
      </w:pPr>
      <w:r>
        <w:separator/>
      </w:r>
    </w:p>
  </w:endnote>
  <w:endnote w:type="continuationSeparator" w:id="0">
    <w:p w:rsidR="00647052" w:rsidRDefault="0064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B82023" w:rsidRPr="004A1533" w:rsidTr="005536DE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:rsidR="00B82023" w:rsidRPr="004A1533" w:rsidRDefault="00B82023" w:rsidP="00B8202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jc w:val="center"/>
            <w:rPr>
              <w:rFonts w:ascii="Poppins" w:hAnsi="Poppins" w:cs="Poppins"/>
              <w:sz w:val="24"/>
              <w:szCs w:val="24"/>
            </w:rPr>
          </w:pPr>
          <w:r w:rsidRPr="004A1533">
            <w:rPr>
              <w:rFonts w:ascii="Poppins" w:hAnsi="Poppins" w:cs="Poppins"/>
              <w:color w:val="595959"/>
              <w:sz w:val="16"/>
            </w:rPr>
            <w:t>Mémoire technique</w:t>
          </w:r>
          <w:r w:rsidR="00EF388D" w:rsidRPr="004A1533">
            <w:rPr>
              <w:rFonts w:ascii="Poppins" w:hAnsi="Poppins" w:cs="Poppins"/>
              <w:color w:val="595959"/>
              <w:sz w:val="16"/>
            </w:rPr>
            <w:t xml:space="preserve"> variante obligatoire</w:t>
          </w:r>
          <w:r w:rsidRPr="004A1533">
            <w:rPr>
              <w:rFonts w:ascii="Poppins" w:hAnsi="Poppins" w:cs="Poppins"/>
              <w:color w:val="595959"/>
              <w:sz w:val="16"/>
            </w:rPr>
            <w:t xml:space="preserve"> – </w:t>
          </w:r>
          <w:r w:rsidR="00EF388D" w:rsidRPr="004A1533">
            <w:rPr>
              <w:rFonts w:ascii="Poppins" w:hAnsi="Poppins" w:cs="Poppins"/>
              <w:color w:val="595959"/>
              <w:sz w:val="16"/>
            </w:rPr>
            <w:t>M</w:t>
          </w:r>
          <w:r w:rsidR="0080069F" w:rsidRPr="004A1533">
            <w:rPr>
              <w:rFonts w:ascii="Poppins" w:hAnsi="Poppins" w:cs="Poppins"/>
              <w:color w:val="595959"/>
              <w:sz w:val="16"/>
            </w:rPr>
            <w:t>arché n° 2025</w:t>
          </w:r>
          <w:r w:rsidR="00F94370" w:rsidRPr="004A1533">
            <w:rPr>
              <w:rFonts w:ascii="Poppins" w:hAnsi="Poppins" w:cs="Poppins"/>
              <w:color w:val="595959"/>
              <w:sz w:val="16"/>
            </w:rPr>
            <w:t>AD03</w:t>
          </w:r>
          <w:r w:rsidR="00605E92" w:rsidRPr="004A1533">
            <w:rPr>
              <w:rFonts w:ascii="Poppins" w:hAnsi="Poppins" w:cs="Poppins"/>
              <w:color w:val="595959"/>
              <w:sz w:val="16"/>
            </w:rPr>
            <w:t xml:space="preserve"> </w:t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:rsidR="00B82023" w:rsidRPr="004A1533" w:rsidRDefault="00B82023" w:rsidP="00B82023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Poppins" w:hAnsi="Poppins" w:cs="Poppins"/>
              <w:sz w:val="24"/>
              <w:szCs w:val="24"/>
            </w:rPr>
          </w:pPr>
          <w:r w:rsidRPr="004A1533">
            <w:rPr>
              <w:rFonts w:ascii="Poppins" w:hAnsi="Poppins" w:cs="Poppins"/>
              <w:color w:val="FFFFFF"/>
              <w:sz w:val="16"/>
              <w:szCs w:val="16"/>
            </w:rPr>
            <w:t xml:space="preserve"> </w:t>
          </w:r>
          <w:r w:rsidRPr="004A1533">
            <w:rPr>
              <w:rFonts w:ascii="Poppins" w:hAnsi="Poppins" w:cs="Poppins"/>
              <w:color w:val="FFFFFF"/>
              <w:sz w:val="16"/>
              <w:szCs w:val="16"/>
            </w:rPr>
            <w:pgNum/>
          </w:r>
          <w:r w:rsidRPr="004A1533">
            <w:rPr>
              <w:rFonts w:ascii="Poppins" w:hAnsi="Poppins" w:cs="Poppins"/>
              <w:color w:val="FFFFFF"/>
              <w:sz w:val="16"/>
              <w:szCs w:val="16"/>
            </w:rPr>
            <w:t xml:space="preserve"> / </w:t>
          </w:r>
          <w:r w:rsidRPr="004A1533">
            <w:rPr>
              <w:rFonts w:ascii="Poppins" w:hAnsi="Poppins" w:cs="Poppins"/>
              <w:color w:val="FFFFFF"/>
              <w:sz w:val="16"/>
              <w:szCs w:val="16"/>
            </w:rPr>
            <w:fldChar w:fldCharType="begin"/>
          </w:r>
          <w:r w:rsidRPr="004A1533">
            <w:rPr>
              <w:rFonts w:ascii="Poppins" w:hAnsi="Poppins" w:cs="Poppins"/>
              <w:color w:val="FFFFFF"/>
              <w:sz w:val="16"/>
              <w:szCs w:val="16"/>
            </w:rPr>
            <w:instrText>NUMPAGES</w:instrText>
          </w:r>
          <w:r w:rsidRPr="004A1533">
            <w:rPr>
              <w:rFonts w:ascii="Poppins" w:hAnsi="Poppins" w:cs="Poppins"/>
              <w:color w:val="FFFFFF"/>
              <w:sz w:val="16"/>
              <w:szCs w:val="16"/>
            </w:rPr>
            <w:fldChar w:fldCharType="separate"/>
          </w:r>
          <w:r w:rsidR="00BC16D7" w:rsidRPr="004A1533">
            <w:rPr>
              <w:rFonts w:ascii="Poppins" w:hAnsi="Poppins" w:cs="Poppins"/>
              <w:noProof/>
              <w:color w:val="FFFFFF"/>
              <w:sz w:val="16"/>
              <w:szCs w:val="16"/>
            </w:rPr>
            <w:t>6</w:t>
          </w:r>
          <w:r w:rsidRPr="004A1533">
            <w:rPr>
              <w:rFonts w:ascii="Poppins" w:hAnsi="Poppins" w:cs="Poppins"/>
              <w:color w:val="FFFFFF"/>
              <w:sz w:val="16"/>
              <w:szCs w:val="16"/>
            </w:rPr>
            <w:fldChar w:fldCharType="end"/>
          </w:r>
        </w:p>
      </w:tc>
    </w:tr>
  </w:tbl>
  <w:p w:rsidR="005661C7" w:rsidRDefault="0003480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  <w:r>
      <w:rPr>
        <w:rFonts w:ascii="Arial" w:hAnsi="Arial" w:cs="Arial"/>
        <w:color w:val="000000"/>
        <w:sz w:val="2"/>
        <w:szCs w:val="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052" w:rsidRDefault="00647052">
      <w:pPr>
        <w:spacing w:after="0" w:line="240" w:lineRule="auto"/>
      </w:pPr>
      <w:r>
        <w:separator/>
      </w:r>
    </w:p>
  </w:footnote>
  <w:footnote w:type="continuationSeparator" w:id="0">
    <w:p w:rsidR="00647052" w:rsidRDefault="00647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023" w:rsidRDefault="009E6327" w:rsidP="00B82023">
    <w:pPr>
      <w:pStyle w:val="En-tte"/>
      <w:ind w:hanging="1276"/>
      <w:rPr>
        <w:noProof/>
      </w:rPr>
    </w:pPr>
    <w:r>
      <w:rPr>
        <w:noProof/>
      </w:rPr>
      <w:t xml:space="preserve">            </w:t>
    </w:r>
  </w:p>
  <w:p w:rsidR="009E6327" w:rsidRDefault="009E6327" w:rsidP="00B82023">
    <w:pPr>
      <w:pStyle w:val="En-tte"/>
      <w:ind w:hanging="1276"/>
    </w:pPr>
    <w:r>
      <w:t xml:space="preserve">         </w:t>
    </w:r>
    <w:r w:rsidR="00915FA7">
      <w:rPr>
        <w:noProof/>
      </w:rPr>
      <w:drawing>
        <wp:inline distT="0" distB="0" distL="0" distR="0">
          <wp:extent cx="1504950" cy="723900"/>
          <wp:effectExtent l="0" t="0" r="0" b="0"/>
          <wp:docPr id="1" name="Image 37" descr="Une image contenant Graphique, symbole, graphisme, Police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7" descr="Une image contenant Graphique, symbole, graphisme, Police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2F71766"/>
    <w:multiLevelType w:val="multilevel"/>
    <w:tmpl w:val="72D2551C"/>
    <w:lvl w:ilvl="0">
      <w:numFmt w:val="bullet"/>
      <w:lvlText w:val="-"/>
      <w:lvlJc w:val="left"/>
      <w:pPr>
        <w:tabs>
          <w:tab w:val="num" w:pos="893"/>
        </w:tabs>
        <w:ind w:left="785" w:hanging="360"/>
      </w:pPr>
      <w:rPr>
        <w:rFonts w:ascii="Arial" w:hAnsi="Arial"/>
        <w:color w:val="000000"/>
        <w:sz w:val="16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5" w15:restartNumberingAfterBreak="0">
    <w:nsid w:val="26887211"/>
    <w:multiLevelType w:val="hybridMultilevel"/>
    <w:tmpl w:val="9782C5A6"/>
    <w:lvl w:ilvl="0" w:tplc="0E66BD6E">
      <w:numFmt w:val="bullet"/>
      <w:lvlText w:val="-"/>
      <w:lvlJc w:val="left"/>
      <w:pPr>
        <w:ind w:left="720" w:hanging="360"/>
      </w:pPr>
      <w:rPr>
        <w:rFonts w:ascii="Poppins" w:eastAsia="Times New Roman" w:hAnsi="Poppi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7" w15:restartNumberingAfterBreak="0">
    <w:nsid w:val="2A0B2FB4"/>
    <w:multiLevelType w:val="hybridMultilevel"/>
    <w:tmpl w:val="2736A3C2"/>
    <w:lvl w:ilvl="0" w:tplc="BEC6412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E60AE"/>
    <w:multiLevelType w:val="multilevel"/>
    <w:tmpl w:val="67189F0E"/>
    <w:lvl w:ilvl="0">
      <w:numFmt w:val="bullet"/>
      <w:lvlText w:val="-"/>
      <w:lvlJc w:val="left"/>
      <w:pPr>
        <w:tabs>
          <w:tab w:val="num" w:pos="936"/>
        </w:tabs>
        <w:ind w:left="828" w:hanging="360"/>
      </w:pPr>
      <w:rPr>
        <w:rFonts w:ascii="Arial" w:hAnsi="Arial"/>
        <w:color w:val="000000"/>
        <w:sz w:val="16"/>
      </w:rPr>
    </w:lvl>
    <w:lvl w:ilvl="1">
      <w:start w:val="1"/>
      <w:numFmt w:val="bullet"/>
      <w:lvlText w:val="•"/>
      <w:lvlJc w:val="left"/>
      <w:pPr>
        <w:tabs>
          <w:tab w:val="num" w:pos="108"/>
        </w:tabs>
        <w:ind w:left="1548" w:hanging="360"/>
      </w:pPr>
      <w:rPr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648508FE"/>
    <w:multiLevelType w:val="hybridMultilevel"/>
    <w:tmpl w:val="8B20AF3A"/>
    <w:lvl w:ilvl="0" w:tplc="6D8E68E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1" w15:restartNumberingAfterBreak="0">
    <w:nsid w:val="72EE65D3"/>
    <w:multiLevelType w:val="multilevel"/>
    <w:tmpl w:val="5DA28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num w:numId="1">
    <w:abstractNumId w:val="0"/>
  </w:num>
  <w:num w:numId="2">
    <w:abstractNumId w:val="0"/>
  </w:num>
  <w:num w:numId="3">
    <w:abstractNumId w:val="10"/>
  </w:num>
  <w:num w:numId="4">
    <w:abstractNumId w:val="0"/>
  </w:num>
  <w:num w:numId="5">
    <w:abstractNumId w:val="0"/>
  </w:num>
  <w:num w:numId="6">
    <w:abstractNumId w:val="12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0"/>
  </w:num>
  <w:num w:numId="12">
    <w:abstractNumId w:val="0"/>
  </w:num>
  <w:num w:numId="13">
    <w:abstractNumId w:val="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0"/>
  </w:num>
  <w:num w:numId="19">
    <w:abstractNumId w:val="0"/>
  </w:num>
  <w:num w:numId="20">
    <w:abstractNumId w:val="10"/>
  </w:num>
  <w:num w:numId="21">
    <w:abstractNumId w:val="1"/>
  </w:num>
  <w:num w:numId="22">
    <w:abstractNumId w:val="6"/>
  </w:num>
  <w:num w:numId="23">
    <w:abstractNumId w:val="10"/>
  </w:num>
  <w:num w:numId="24">
    <w:abstractNumId w:val="2"/>
  </w:num>
  <w:num w:numId="25">
    <w:abstractNumId w:val="10"/>
  </w:num>
  <w:num w:numId="26">
    <w:abstractNumId w:val="3"/>
  </w:num>
  <w:num w:numId="27">
    <w:abstractNumId w:val="0"/>
  </w:num>
  <w:num w:numId="28">
    <w:abstractNumId w:val="4"/>
  </w:num>
  <w:num w:numId="29">
    <w:abstractNumId w:val="8"/>
  </w:num>
  <w:num w:numId="30">
    <w:abstractNumId w:val="7"/>
  </w:num>
  <w:num w:numId="31">
    <w:abstractNumId w:val="9"/>
  </w:num>
  <w:num w:numId="32">
    <w:abstractNumId w:val="11"/>
  </w:num>
  <w:num w:numId="33">
    <w:abstractNumId w:val="5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6"/>
    <w:rsid w:val="00006390"/>
    <w:rsid w:val="00020492"/>
    <w:rsid w:val="0002206E"/>
    <w:rsid w:val="00023D92"/>
    <w:rsid w:val="00034801"/>
    <w:rsid w:val="00046C61"/>
    <w:rsid w:val="00052376"/>
    <w:rsid w:val="000900F9"/>
    <w:rsid w:val="00094C5D"/>
    <w:rsid w:val="000C19FF"/>
    <w:rsid w:val="000E76C0"/>
    <w:rsid w:val="00105114"/>
    <w:rsid w:val="001338F7"/>
    <w:rsid w:val="001373BD"/>
    <w:rsid w:val="00156FF0"/>
    <w:rsid w:val="0015735B"/>
    <w:rsid w:val="00184188"/>
    <w:rsid w:val="0019728F"/>
    <w:rsid w:val="001D440B"/>
    <w:rsid w:val="00221E66"/>
    <w:rsid w:val="00235EB8"/>
    <w:rsid w:val="002434D1"/>
    <w:rsid w:val="00284907"/>
    <w:rsid w:val="002A5B61"/>
    <w:rsid w:val="002B32EC"/>
    <w:rsid w:val="002E7C2F"/>
    <w:rsid w:val="0031088E"/>
    <w:rsid w:val="0031096B"/>
    <w:rsid w:val="00313D25"/>
    <w:rsid w:val="003A2695"/>
    <w:rsid w:val="003A4902"/>
    <w:rsid w:val="003B62B1"/>
    <w:rsid w:val="003D204E"/>
    <w:rsid w:val="003D20B4"/>
    <w:rsid w:val="003E4F23"/>
    <w:rsid w:val="00400B6D"/>
    <w:rsid w:val="004061EB"/>
    <w:rsid w:val="00431431"/>
    <w:rsid w:val="00466E47"/>
    <w:rsid w:val="00470388"/>
    <w:rsid w:val="004A1533"/>
    <w:rsid w:val="004A6D8A"/>
    <w:rsid w:val="004C0415"/>
    <w:rsid w:val="004E758F"/>
    <w:rsid w:val="005002AF"/>
    <w:rsid w:val="00507E4A"/>
    <w:rsid w:val="0053209F"/>
    <w:rsid w:val="00537FEF"/>
    <w:rsid w:val="005426EB"/>
    <w:rsid w:val="005443C0"/>
    <w:rsid w:val="005536DE"/>
    <w:rsid w:val="005661C7"/>
    <w:rsid w:val="00580FCE"/>
    <w:rsid w:val="005A1CD1"/>
    <w:rsid w:val="005B569F"/>
    <w:rsid w:val="0060366D"/>
    <w:rsid w:val="00605E92"/>
    <w:rsid w:val="00611AA8"/>
    <w:rsid w:val="00615BD3"/>
    <w:rsid w:val="00616657"/>
    <w:rsid w:val="00617BEE"/>
    <w:rsid w:val="0062413F"/>
    <w:rsid w:val="00647052"/>
    <w:rsid w:val="006517EB"/>
    <w:rsid w:val="00657059"/>
    <w:rsid w:val="006745AF"/>
    <w:rsid w:val="006915D6"/>
    <w:rsid w:val="006E659E"/>
    <w:rsid w:val="00703CC0"/>
    <w:rsid w:val="007173F3"/>
    <w:rsid w:val="00736020"/>
    <w:rsid w:val="007607D5"/>
    <w:rsid w:val="00771D5E"/>
    <w:rsid w:val="00783130"/>
    <w:rsid w:val="0078462A"/>
    <w:rsid w:val="007D74D3"/>
    <w:rsid w:val="007E2470"/>
    <w:rsid w:val="0080069F"/>
    <w:rsid w:val="00802832"/>
    <w:rsid w:val="00810145"/>
    <w:rsid w:val="008153EB"/>
    <w:rsid w:val="00827B62"/>
    <w:rsid w:val="00832BD8"/>
    <w:rsid w:val="00837005"/>
    <w:rsid w:val="00864F2B"/>
    <w:rsid w:val="008733A0"/>
    <w:rsid w:val="00883DBC"/>
    <w:rsid w:val="008962F9"/>
    <w:rsid w:val="008968F8"/>
    <w:rsid w:val="008A5E5E"/>
    <w:rsid w:val="008B1A26"/>
    <w:rsid w:val="008B7D87"/>
    <w:rsid w:val="008C4B73"/>
    <w:rsid w:val="008E21AE"/>
    <w:rsid w:val="008E6173"/>
    <w:rsid w:val="008E741C"/>
    <w:rsid w:val="00903A59"/>
    <w:rsid w:val="00915FA7"/>
    <w:rsid w:val="00924A69"/>
    <w:rsid w:val="00945AE4"/>
    <w:rsid w:val="00970959"/>
    <w:rsid w:val="009977EC"/>
    <w:rsid w:val="009C02BE"/>
    <w:rsid w:val="009E35FB"/>
    <w:rsid w:val="009E6327"/>
    <w:rsid w:val="00A53289"/>
    <w:rsid w:val="00A57AAC"/>
    <w:rsid w:val="00A62E25"/>
    <w:rsid w:val="00A83693"/>
    <w:rsid w:val="00AA2E2C"/>
    <w:rsid w:val="00AD37DE"/>
    <w:rsid w:val="00AD3F29"/>
    <w:rsid w:val="00AE0C2C"/>
    <w:rsid w:val="00AE11DF"/>
    <w:rsid w:val="00AE3562"/>
    <w:rsid w:val="00AE7F0D"/>
    <w:rsid w:val="00AF2876"/>
    <w:rsid w:val="00B54700"/>
    <w:rsid w:val="00B75B42"/>
    <w:rsid w:val="00B82023"/>
    <w:rsid w:val="00BA5FDE"/>
    <w:rsid w:val="00BB3797"/>
    <w:rsid w:val="00BC16D7"/>
    <w:rsid w:val="00C17DDB"/>
    <w:rsid w:val="00C2039F"/>
    <w:rsid w:val="00C272F7"/>
    <w:rsid w:val="00C33009"/>
    <w:rsid w:val="00C347E1"/>
    <w:rsid w:val="00C62A68"/>
    <w:rsid w:val="00CD5C25"/>
    <w:rsid w:val="00CD67E2"/>
    <w:rsid w:val="00D002B2"/>
    <w:rsid w:val="00D04161"/>
    <w:rsid w:val="00D173DE"/>
    <w:rsid w:val="00D21A02"/>
    <w:rsid w:val="00D45848"/>
    <w:rsid w:val="00D547A3"/>
    <w:rsid w:val="00D73C7F"/>
    <w:rsid w:val="00D80B02"/>
    <w:rsid w:val="00D81726"/>
    <w:rsid w:val="00D86AC5"/>
    <w:rsid w:val="00D90452"/>
    <w:rsid w:val="00D92E95"/>
    <w:rsid w:val="00D9408E"/>
    <w:rsid w:val="00D9696A"/>
    <w:rsid w:val="00D97D24"/>
    <w:rsid w:val="00DA322D"/>
    <w:rsid w:val="00DB4A14"/>
    <w:rsid w:val="00DC4FCD"/>
    <w:rsid w:val="00E20362"/>
    <w:rsid w:val="00E34652"/>
    <w:rsid w:val="00E402F3"/>
    <w:rsid w:val="00E4316D"/>
    <w:rsid w:val="00E436DE"/>
    <w:rsid w:val="00E47C6E"/>
    <w:rsid w:val="00E67114"/>
    <w:rsid w:val="00E94C2A"/>
    <w:rsid w:val="00ED633D"/>
    <w:rsid w:val="00EF388D"/>
    <w:rsid w:val="00F00DA3"/>
    <w:rsid w:val="00F114C5"/>
    <w:rsid w:val="00F35AE9"/>
    <w:rsid w:val="00F43BCF"/>
    <w:rsid w:val="00F4673F"/>
    <w:rsid w:val="00F46E96"/>
    <w:rsid w:val="00F64416"/>
    <w:rsid w:val="00F94370"/>
    <w:rsid w:val="00FC6056"/>
    <w:rsid w:val="00FD2DFC"/>
    <w:rsid w:val="00FE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4:docId w14:val="5F6AC13C"/>
  <w14:defaultImageDpi w14:val="0"/>
  <w15:docId w15:val="{0BC5AACA-FE97-40FF-BEAA-5B5AC5D75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8202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8202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locked/>
    <w:rsid w:val="00B82023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B820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locked/>
    <w:rsid w:val="00B82023"/>
    <w:rPr>
      <w:rFonts w:cs="Times New Roman"/>
    </w:rPr>
  </w:style>
  <w:style w:type="paragraph" w:customStyle="1" w:styleId="Default">
    <w:name w:val="Default"/>
    <w:rsid w:val="00B82023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zh-CN"/>
    </w:rPr>
  </w:style>
  <w:style w:type="paragraph" w:customStyle="1" w:styleId="Standard">
    <w:name w:val="Standard"/>
    <w:rsid w:val="00B82023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sz w:val="24"/>
      <w:szCs w:val="24"/>
    </w:rPr>
  </w:style>
  <w:style w:type="paragraph" w:customStyle="1" w:styleId="Retraitducorpsdetexte">
    <w:name w:val="Retrait du corps de texte"/>
    <w:basedOn w:val="Standard"/>
    <w:rsid w:val="00B82023"/>
    <w:pPr>
      <w:ind w:left="360"/>
      <w:jc w:val="both"/>
    </w:pPr>
    <w:rPr>
      <w:szCs w:val="20"/>
    </w:rPr>
  </w:style>
  <w:style w:type="character" w:styleId="Marquedecommentaire">
    <w:name w:val="annotation reference"/>
    <w:uiPriority w:val="99"/>
    <w:semiHidden/>
    <w:unhideWhenUsed/>
    <w:rsid w:val="00BC16D7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C16D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locked/>
    <w:rsid w:val="00BC16D7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16D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locked/>
    <w:rsid w:val="00BC16D7"/>
    <w:rPr>
      <w:rFonts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C1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locked/>
    <w:rsid w:val="00BC16D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A5E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ev">
    <w:name w:val="Strong"/>
    <w:uiPriority w:val="22"/>
    <w:qFormat/>
    <w:rsid w:val="00DC4FC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479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674</Words>
  <Characters>3713</Characters>
  <Application>Microsoft Office Word</Application>
  <DocSecurity>4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univ</dc:creator>
  <cp:keywords/>
  <dc:description>Generated by Oracle BI Publisher 10.1.3.4.2</dc:description>
  <cp:lastModifiedBy>univ</cp:lastModifiedBy>
  <cp:revision>2</cp:revision>
  <dcterms:created xsi:type="dcterms:W3CDTF">2025-10-08T08:36:00Z</dcterms:created>
  <dcterms:modified xsi:type="dcterms:W3CDTF">2025-10-08T08:36:00Z</dcterms:modified>
</cp:coreProperties>
</file>